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F6E0A" w14:textId="77777777" w:rsidR="008E5A21" w:rsidRDefault="008E5A21" w:rsidP="008E5A21">
      <w:pPr>
        <w:spacing w:line="600" w:lineRule="exact"/>
        <w:rPr>
          <w:rFonts w:ascii="Times New Roman"/>
        </w:rPr>
      </w:pPr>
      <w:r>
        <w:rPr>
          <w:rFonts w:ascii="Times New Roman" w:hint="eastAsia"/>
        </w:rPr>
        <w:t>附件</w:t>
      </w:r>
      <w:r>
        <w:rPr>
          <w:rFonts w:ascii="Times New Roman" w:hint="eastAsia"/>
        </w:rPr>
        <w:t>7</w:t>
      </w:r>
      <w:r>
        <w:rPr>
          <w:rFonts w:ascii="Times New Roman" w:hint="eastAsia"/>
        </w:rPr>
        <w:t>：</w:t>
      </w:r>
    </w:p>
    <w:p w14:paraId="61DD39BE" w14:textId="77777777" w:rsidR="008E5A21" w:rsidRDefault="008E5A21" w:rsidP="008E5A21">
      <w:pPr>
        <w:jc w:val="center"/>
        <w:rPr>
          <w:rFonts w:ascii="黑体" w:eastAsia="黑体"/>
        </w:rPr>
      </w:pPr>
      <w:r>
        <w:rPr>
          <w:rFonts w:ascii="Times New Roman" w:hint="eastAsia"/>
          <w:b/>
          <w:bCs/>
          <w:color w:val="000000"/>
          <w:sz w:val="44"/>
          <w:szCs w:val="44"/>
        </w:rPr>
        <w:t>福州理工学院大学生社会实践安全预案</w:t>
      </w:r>
    </w:p>
    <w:p w14:paraId="7EFD2322" w14:textId="77777777" w:rsidR="008E5A21" w:rsidRDefault="008E5A21" w:rsidP="008E5A21">
      <w:pPr>
        <w:jc w:val="center"/>
        <w:rPr>
          <w:rFonts w:ascii="黑体" w:eastAsia="黑体"/>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575"/>
        <w:gridCol w:w="3675"/>
        <w:gridCol w:w="3780"/>
      </w:tblGrid>
      <w:tr w:rsidR="008E5A21" w14:paraId="78B56B5B" w14:textId="77777777" w:rsidTr="00822904">
        <w:trPr>
          <w:trHeight w:val="567"/>
          <w:jc w:val="center"/>
        </w:trPr>
        <w:tc>
          <w:tcPr>
            <w:tcW w:w="840" w:type="dxa"/>
            <w:vMerge w:val="restart"/>
            <w:vAlign w:val="center"/>
          </w:tcPr>
          <w:p w14:paraId="5039CBE2" w14:textId="77777777" w:rsidR="008E5A21" w:rsidRDefault="008E5A21" w:rsidP="00822904">
            <w:pPr>
              <w:widowControl/>
              <w:jc w:val="center"/>
              <w:rPr>
                <w:rFonts w:hAnsi="宋体" w:cs="宋体"/>
                <w:b/>
                <w:kern w:val="0"/>
                <w:sz w:val="24"/>
              </w:rPr>
            </w:pPr>
            <w:r>
              <w:rPr>
                <w:rFonts w:hAnsi="宋体" w:cs="宋体" w:hint="eastAsia"/>
                <w:b/>
                <w:kern w:val="0"/>
                <w:sz w:val="24"/>
              </w:rPr>
              <w:t>四级</w:t>
            </w:r>
          </w:p>
          <w:p w14:paraId="544F72BE" w14:textId="77777777" w:rsidR="008E5A21" w:rsidRDefault="008E5A21" w:rsidP="00822904">
            <w:pPr>
              <w:widowControl/>
              <w:jc w:val="center"/>
              <w:rPr>
                <w:rFonts w:hAnsi="宋体" w:cs="宋体"/>
                <w:b/>
                <w:kern w:val="0"/>
                <w:sz w:val="24"/>
              </w:rPr>
            </w:pPr>
            <w:r>
              <w:rPr>
                <w:rFonts w:hAnsi="宋体" w:cs="宋体" w:hint="eastAsia"/>
                <w:b/>
                <w:kern w:val="0"/>
                <w:sz w:val="24"/>
              </w:rPr>
              <w:t>预警</w:t>
            </w:r>
          </w:p>
          <w:p w14:paraId="06F1D478" w14:textId="77777777" w:rsidR="008E5A21" w:rsidRDefault="008E5A21" w:rsidP="00822904">
            <w:pPr>
              <w:widowControl/>
              <w:jc w:val="center"/>
              <w:rPr>
                <w:rFonts w:hAnsi="宋体" w:cs="宋体"/>
                <w:kern w:val="0"/>
                <w:sz w:val="24"/>
              </w:rPr>
            </w:pPr>
            <w:r>
              <w:rPr>
                <w:rFonts w:hAnsi="宋体" w:cs="宋体" w:hint="eastAsia"/>
                <w:b/>
                <w:kern w:val="0"/>
                <w:sz w:val="24"/>
              </w:rPr>
              <w:t>机制</w:t>
            </w:r>
          </w:p>
        </w:tc>
        <w:tc>
          <w:tcPr>
            <w:tcW w:w="1575" w:type="dxa"/>
            <w:vAlign w:val="center"/>
          </w:tcPr>
          <w:p w14:paraId="0670B339" w14:textId="77777777" w:rsidR="008E5A21" w:rsidRDefault="008E5A21" w:rsidP="00822904">
            <w:pPr>
              <w:widowControl/>
              <w:spacing w:before="100" w:beforeAutospacing="1" w:after="100" w:afterAutospacing="1" w:line="360" w:lineRule="auto"/>
              <w:jc w:val="center"/>
              <w:rPr>
                <w:rFonts w:hAnsi="宋体" w:cs="宋体"/>
                <w:b/>
                <w:kern w:val="0"/>
                <w:sz w:val="24"/>
              </w:rPr>
            </w:pPr>
            <w:r>
              <w:rPr>
                <w:rFonts w:hAnsi="宋体" w:cs="宋体" w:hint="eastAsia"/>
                <w:b/>
                <w:kern w:val="0"/>
                <w:sz w:val="24"/>
              </w:rPr>
              <w:t>预警等级</w:t>
            </w:r>
          </w:p>
        </w:tc>
        <w:tc>
          <w:tcPr>
            <w:tcW w:w="3675" w:type="dxa"/>
            <w:vAlign w:val="center"/>
          </w:tcPr>
          <w:p w14:paraId="2C984AF4" w14:textId="77777777" w:rsidR="008E5A21" w:rsidRDefault="008E5A21" w:rsidP="00822904">
            <w:pPr>
              <w:widowControl/>
              <w:spacing w:before="100" w:beforeAutospacing="1" w:after="100" w:afterAutospacing="1" w:line="360" w:lineRule="auto"/>
              <w:jc w:val="center"/>
              <w:rPr>
                <w:rFonts w:hAnsi="宋体" w:cs="宋体"/>
                <w:b/>
                <w:kern w:val="0"/>
                <w:sz w:val="24"/>
              </w:rPr>
            </w:pPr>
            <w:r>
              <w:rPr>
                <w:rFonts w:hAnsi="宋体" w:cs="宋体" w:hint="eastAsia"/>
                <w:b/>
                <w:kern w:val="0"/>
                <w:sz w:val="24"/>
              </w:rPr>
              <w:t>紧急情况</w:t>
            </w:r>
          </w:p>
        </w:tc>
        <w:tc>
          <w:tcPr>
            <w:tcW w:w="3780" w:type="dxa"/>
            <w:vAlign w:val="center"/>
          </w:tcPr>
          <w:p w14:paraId="698043C9" w14:textId="77777777" w:rsidR="008E5A21" w:rsidRDefault="008E5A21" w:rsidP="00822904">
            <w:pPr>
              <w:widowControl/>
              <w:spacing w:before="100" w:beforeAutospacing="1" w:after="100" w:afterAutospacing="1" w:line="360" w:lineRule="auto"/>
              <w:jc w:val="center"/>
              <w:rPr>
                <w:rFonts w:hAnsi="宋体" w:cs="宋体"/>
                <w:b/>
                <w:kern w:val="0"/>
                <w:sz w:val="24"/>
              </w:rPr>
            </w:pPr>
            <w:r>
              <w:rPr>
                <w:rFonts w:hAnsi="宋体" w:cs="宋体" w:hint="eastAsia"/>
                <w:b/>
                <w:kern w:val="0"/>
                <w:sz w:val="24"/>
              </w:rPr>
              <w:t>处置方式</w:t>
            </w:r>
          </w:p>
        </w:tc>
      </w:tr>
      <w:tr w:rsidR="008E5A21" w14:paraId="354AAE8B" w14:textId="77777777" w:rsidTr="00822904">
        <w:trPr>
          <w:trHeight w:val="567"/>
          <w:jc w:val="center"/>
        </w:trPr>
        <w:tc>
          <w:tcPr>
            <w:tcW w:w="840" w:type="dxa"/>
            <w:vMerge/>
          </w:tcPr>
          <w:p w14:paraId="62E46D21" w14:textId="77777777" w:rsidR="008E5A21" w:rsidRDefault="008E5A21" w:rsidP="00822904">
            <w:pPr>
              <w:widowControl/>
              <w:spacing w:before="100" w:beforeAutospacing="1" w:after="100" w:afterAutospacing="1" w:line="360" w:lineRule="auto"/>
              <w:jc w:val="center"/>
              <w:rPr>
                <w:rFonts w:hAnsi="宋体" w:cs="宋体"/>
                <w:kern w:val="0"/>
                <w:sz w:val="24"/>
              </w:rPr>
            </w:pPr>
          </w:p>
        </w:tc>
        <w:tc>
          <w:tcPr>
            <w:tcW w:w="1575" w:type="dxa"/>
            <w:vAlign w:val="center"/>
          </w:tcPr>
          <w:p w14:paraId="703B7A8E" w14:textId="77777777" w:rsidR="008E5A21" w:rsidRDefault="008E5A21" w:rsidP="00822904">
            <w:pPr>
              <w:widowControl/>
              <w:spacing w:before="100" w:beforeAutospacing="1" w:after="100" w:afterAutospacing="1" w:line="360" w:lineRule="auto"/>
              <w:jc w:val="center"/>
              <w:rPr>
                <w:rFonts w:hAnsi="宋体" w:cs="宋体"/>
                <w:kern w:val="0"/>
                <w:sz w:val="24"/>
              </w:rPr>
            </w:pPr>
            <w:r>
              <w:rPr>
                <w:rFonts w:hint="eastAsia"/>
                <w:sz w:val="24"/>
              </w:rPr>
              <w:t>Ⅰ级（特大）</w:t>
            </w:r>
          </w:p>
        </w:tc>
        <w:tc>
          <w:tcPr>
            <w:tcW w:w="3675" w:type="dxa"/>
            <w:vAlign w:val="center"/>
          </w:tcPr>
          <w:p w14:paraId="34D9852F" w14:textId="77777777" w:rsidR="008E5A21" w:rsidRDefault="008E5A21" w:rsidP="00822904">
            <w:pPr>
              <w:widowControl/>
              <w:rPr>
                <w:rFonts w:cs="宋体"/>
                <w:b/>
                <w:kern w:val="0"/>
                <w:sz w:val="24"/>
              </w:rPr>
            </w:pPr>
            <w:r>
              <w:rPr>
                <w:rFonts w:hint="eastAsia"/>
                <w:sz w:val="24"/>
              </w:rPr>
              <w:t>一般性事件中造成实践团队成员在实践过程中死亡</w:t>
            </w:r>
          </w:p>
        </w:tc>
        <w:tc>
          <w:tcPr>
            <w:tcW w:w="3780" w:type="dxa"/>
            <w:vAlign w:val="center"/>
          </w:tcPr>
          <w:p w14:paraId="17D72F9F" w14:textId="77777777" w:rsidR="008E5A21" w:rsidRDefault="008E5A21" w:rsidP="00822904">
            <w:pPr>
              <w:widowControl/>
              <w:rPr>
                <w:rFonts w:cs="宋体"/>
                <w:kern w:val="0"/>
                <w:sz w:val="24"/>
              </w:rPr>
            </w:pPr>
            <w:r>
              <w:rPr>
                <w:rFonts w:hint="eastAsia"/>
                <w:sz w:val="24"/>
              </w:rPr>
              <w:t>领队立刻终止实践活动，立刻联系当地110，与交通安全相关的立刻联系当地交管部门，立刻联系校应急工作组，迅速报告校社会实践工作领导小组组长，领导小组组长报上级主管部门，最迟不得超过1小时。应急处置过程中，及时续报有关情况。</w:t>
            </w:r>
          </w:p>
        </w:tc>
      </w:tr>
      <w:tr w:rsidR="008E5A21" w14:paraId="73685F1F" w14:textId="77777777" w:rsidTr="00822904">
        <w:trPr>
          <w:trHeight w:val="567"/>
          <w:jc w:val="center"/>
        </w:trPr>
        <w:tc>
          <w:tcPr>
            <w:tcW w:w="840" w:type="dxa"/>
            <w:vMerge/>
          </w:tcPr>
          <w:p w14:paraId="0D16E4CA" w14:textId="77777777" w:rsidR="008E5A21" w:rsidRDefault="008E5A21" w:rsidP="00822904">
            <w:pPr>
              <w:widowControl/>
              <w:spacing w:before="100" w:beforeAutospacing="1" w:after="100" w:afterAutospacing="1" w:line="360" w:lineRule="auto"/>
              <w:jc w:val="center"/>
              <w:rPr>
                <w:rFonts w:hAnsi="宋体" w:cs="宋体"/>
                <w:kern w:val="0"/>
                <w:sz w:val="24"/>
              </w:rPr>
            </w:pPr>
          </w:p>
        </w:tc>
        <w:tc>
          <w:tcPr>
            <w:tcW w:w="1575" w:type="dxa"/>
            <w:vAlign w:val="center"/>
          </w:tcPr>
          <w:p w14:paraId="4253C823" w14:textId="77777777" w:rsidR="008E5A21" w:rsidRDefault="008E5A21" w:rsidP="00822904">
            <w:pPr>
              <w:widowControl/>
              <w:spacing w:before="100" w:beforeAutospacing="1" w:after="100" w:afterAutospacing="1" w:line="360" w:lineRule="auto"/>
              <w:jc w:val="center"/>
              <w:rPr>
                <w:rFonts w:hAnsi="宋体" w:cs="宋体"/>
                <w:kern w:val="0"/>
                <w:sz w:val="24"/>
              </w:rPr>
            </w:pPr>
            <w:r>
              <w:rPr>
                <w:rFonts w:hint="eastAsia"/>
                <w:sz w:val="24"/>
              </w:rPr>
              <w:t>Ⅱ级（重大）</w:t>
            </w:r>
          </w:p>
        </w:tc>
        <w:tc>
          <w:tcPr>
            <w:tcW w:w="3675" w:type="dxa"/>
            <w:vAlign w:val="center"/>
          </w:tcPr>
          <w:p w14:paraId="2331CDBE" w14:textId="77777777" w:rsidR="008E5A21" w:rsidRDefault="008E5A21" w:rsidP="00822904">
            <w:pPr>
              <w:widowControl/>
              <w:rPr>
                <w:rFonts w:cs="宋体"/>
                <w:b/>
                <w:kern w:val="0"/>
                <w:sz w:val="24"/>
              </w:rPr>
            </w:pPr>
            <w:r>
              <w:rPr>
                <w:rFonts w:hint="eastAsia"/>
                <w:sz w:val="24"/>
              </w:rPr>
              <w:t>一般性事件中造成实践团队成员在实践过程中患突发急性病病危或受重伤</w:t>
            </w:r>
          </w:p>
        </w:tc>
        <w:tc>
          <w:tcPr>
            <w:tcW w:w="3780" w:type="dxa"/>
            <w:vAlign w:val="center"/>
          </w:tcPr>
          <w:p w14:paraId="48AEC27F" w14:textId="77777777" w:rsidR="008E5A21" w:rsidRDefault="008E5A21" w:rsidP="00822904">
            <w:pPr>
              <w:widowControl/>
              <w:rPr>
                <w:rFonts w:cs="宋体"/>
                <w:kern w:val="0"/>
                <w:sz w:val="24"/>
              </w:rPr>
            </w:pPr>
            <w:r>
              <w:rPr>
                <w:rFonts w:hint="eastAsia"/>
                <w:sz w:val="24"/>
              </w:rPr>
              <w:t>领队立刻终止实践活动，立刻联系当地120，将病患送附近医院抢救，视情况联系当地110或交管部门，并迅速报告校社会实践工作领导小组副组长，最迟不得超过1小时。</w:t>
            </w:r>
          </w:p>
        </w:tc>
      </w:tr>
      <w:tr w:rsidR="008E5A21" w14:paraId="3737AD85" w14:textId="77777777" w:rsidTr="00822904">
        <w:trPr>
          <w:trHeight w:val="567"/>
          <w:jc w:val="center"/>
        </w:trPr>
        <w:tc>
          <w:tcPr>
            <w:tcW w:w="840" w:type="dxa"/>
            <w:vMerge/>
          </w:tcPr>
          <w:p w14:paraId="06161210" w14:textId="77777777" w:rsidR="008E5A21" w:rsidRDefault="008E5A21" w:rsidP="00822904">
            <w:pPr>
              <w:widowControl/>
              <w:spacing w:before="100" w:beforeAutospacing="1" w:after="100" w:afterAutospacing="1" w:line="360" w:lineRule="auto"/>
              <w:jc w:val="center"/>
              <w:rPr>
                <w:rFonts w:hAnsi="宋体" w:cs="宋体"/>
                <w:kern w:val="0"/>
                <w:sz w:val="24"/>
              </w:rPr>
            </w:pPr>
          </w:p>
        </w:tc>
        <w:tc>
          <w:tcPr>
            <w:tcW w:w="1575" w:type="dxa"/>
            <w:vAlign w:val="center"/>
          </w:tcPr>
          <w:p w14:paraId="17BFB593" w14:textId="77777777" w:rsidR="008E5A21" w:rsidRDefault="008E5A21" w:rsidP="00822904">
            <w:pPr>
              <w:widowControl/>
              <w:spacing w:before="100" w:beforeAutospacing="1" w:after="100" w:afterAutospacing="1" w:line="360" w:lineRule="auto"/>
              <w:jc w:val="center"/>
              <w:rPr>
                <w:rFonts w:hAnsi="宋体" w:cs="宋体"/>
                <w:kern w:val="0"/>
                <w:sz w:val="24"/>
              </w:rPr>
            </w:pPr>
            <w:r>
              <w:rPr>
                <w:rFonts w:hint="eastAsia"/>
                <w:sz w:val="24"/>
              </w:rPr>
              <w:t>Ⅲ级（较大）</w:t>
            </w:r>
          </w:p>
        </w:tc>
        <w:tc>
          <w:tcPr>
            <w:tcW w:w="3675" w:type="dxa"/>
            <w:vAlign w:val="center"/>
          </w:tcPr>
          <w:p w14:paraId="30A58000" w14:textId="77777777" w:rsidR="008E5A21" w:rsidRDefault="008E5A21" w:rsidP="00822904">
            <w:pPr>
              <w:widowControl/>
              <w:rPr>
                <w:rFonts w:cs="宋体"/>
                <w:b/>
                <w:kern w:val="0"/>
                <w:sz w:val="24"/>
              </w:rPr>
            </w:pPr>
            <w:r>
              <w:rPr>
                <w:rFonts w:cs="宋体" w:hint="eastAsia"/>
                <w:kern w:val="0"/>
                <w:sz w:val="24"/>
              </w:rPr>
              <w:t>一般性事件中造成实践团队成员在实践过程中患常见病或受轻度伤害的事件，或因遇到自然灾害导致被困</w:t>
            </w:r>
            <w:r>
              <w:rPr>
                <w:rFonts w:cs="宋体" w:hint="eastAsia"/>
                <w:b/>
                <w:kern w:val="0"/>
                <w:sz w:val="24"/>
              </w:rPr>
              <w:t>。</w:t>
            </w:r>
          </w:p>
        </w:tc>
        <w:tc>
          <w:tcPr>
            <w:tcW w:w="3780" w:type="dxa"/>
            <w:vAlign w:val="center"/>
          </w:tcPr>
          <w:p w14:paraId="582C514C" w14:textId="77777777" w:rsidR="008E5A21" w:rsidRDefault="008E5A21" w:rsidP="00822904">
            <w:pPr>
              <w:widowControl/>
              <w:rPr>
                <w:rFonts w:cs="宋体"/>
                <w:kern w:val="0"/>
                <w:sz w:val="24"/>
              </w:rPr>
            </w:pPr>
            <w:r>
              <w:rPr>
                <w:rFonts w:cs="宋体" w:hint="eastAsia"/>
                <w:kern w:val="0"/>
                <w:sz w:val="24"/>
              </w:rPr>
              <w:t>领队可以根据情况中止社会实践活动，视情况联系当地110或交管部门，将病患送附近医院治疗，待情况好转后再行开展实践活动，并及时联系校社会实践工作办公室负责人。</w:t>
            </w:r>
          </w:p>
        </w:tc>
      </w:tr>
      <w:tr w:rsidR="008E5A21" w14:paraId="2D5B66D5" w14:textId="77777777" w:rsidTr="00822904">
        <w:trPr>
          <w:trHeight w:val="3728"/>
          <w:jc w:val="center"/>
        </w:trPr>
        <w:tc>
          <w:tcPr>
            <w:tcW w:w="840" w:type="dxa"/>
            <w:vMerge/>
          </w:tcPr>
          <w:p w14:paraId="6E08AA25" w14:textId="77777777" w:rsidR="008E5A21" w:rsidRDefault="008E5A21" w:rsidP="00822904">
            <w:pPr>
              <w:widowControl/>
              <w:spacing w:before="100" w:beforeAutospacing="1" w:after="100" w:afterAutospacing="1" w:line="360" w:lineRule="auto"/>
              <w:jc w:val="center"/>
              <w:rPr>
                <w:rFonts w:hAnsi="宋体" w:cs="宋体"/>
                <w:kern w:val="0"/>
                <w:sz w:val="24"/>
              </w:rPr>
            </w:pPr>
          </w:p>
        </w:tc>
        <w:tc>
          <w:tcPr>
            <w:tcW w:w="1575" w:type="dxa"/>
            <w:vAlign w:val="center"/>
          </w:tcPr>
          <w:p w14:paraId="5D743DAF" w14:textId="77777777" w:rsidR="008E5A21" w:rsidRDefault="008E5A21" w:rsidP="00822904">
            <w:pPr>
              <w:widowControl/>
              <w:spacing w:before="100" w:beforeAutospacing="1" w:after="100" w:afterAutospacing="1" w:line="360" w:lineRule="auto"/>
              <w:jc w:val="center"/>
              <w:rPr>
                <w:rFonts w:hAnsi="宋体" w:cs="宋体"/>
                <w:kern w:val="0"/>
                <w:sz w:val="24"/>
              </w:rPr>
            </w:pPr>
            <w:r>
              <w:rPr>
                <w:rFonts w:hint="eastAsia"/>
                <w:sz w:val="24"/>
              </w:rPr>
              <w:t>Ⅳ级（一般）</w:t>
            </w:r>
          </w:p>
        </w:tc>
        <w:tc>
          <w:tcPr>
            <w:tcW w:w="3675" w:type="dxa"/>
            <w:vAlign w:val="center"/>
          </w:tcPr>
          <w:p w14:paraId="4F6F404F" w14:textId="77777777" w:rsidR="008E5A21" w:rsidRDefault="008E5A21" w:rsidP="00822904">
            <w:pPr>
              <w:widowControl/>
              <w:rPr>
                <w:rFonts w:cs="宋体"/>
                <w:kern w:val="0"/>
                <w:sz w:val="24"/>
              </w:rPr>
            </w:pPr>
            <w:r>
              <w:rPr>
                <w:rFonts w:cs="宋体" w:hint="eastAsia"/>
                <w:kern w:val="0"/>
                <w:sz w:val="24"/>
              </w:rPr>
              <w:t>1.由于饮食卫生或天气变化等导致实践团队成员身体不适；</w:t>
            </w:r>
          </w:p>
          <w:p w14:paraId="7A02F974" w14:textId="77777777" w:rsidR="008E5A21" w:rsidRDefault="008E5A21" w:rsidP="00822904">
            <w:pPr>
              <w:widowControl/>
              <w:rPr>
                <w:rFonts w:cs="宋体"/>
                <w:kern w:val="0"/>
                <w:sz w:val="24"/>
              </w:rPr>
            </w:pPr>
            <w:r>
              <w:rPr>
                <w:rFonts w:cs="宋体" w:hint="eastAsia"/>
                <w:kern w:val="0"/>
                <w:sz w:val="24"/>
              </w:rPr>
              <w:t>2.由于交通安全出现轻微交通事故，造成实践人员皮外伤的；</w:t>
            </w:r>
          </w:p>
          <w:p w14:paraId="5F28C06A" w14:textId="77777777" w:rsidR="008E5A21" w:rsidRDefault="008E5A21" w:rsidP="00822904">
            <w:pPr>
              <w:widowControl/>
              <w:rPr>
                <w:rFonts w:cs="宋体"/>
                <w:kern w:val="0"/>
                <w:sz w:val="24"/>
              </w:rPr>
            </w:pPr>
            <w:r>
              <w:rPr>
                <w:rFonts w:cs="宋体" w:hint="eastAsia"/>
                <w:kern w:val="0"/>
                <w:sz w:val="24"/>
              </w:rPr>
              <w:t>3.在实践工作过程中出现纠纷造成实践活动无法开展或成员出现皮外伤；</w:t>
            </w:r>
          </w:p>
          <w:p w14:paraId="396A844A" w14:textId="77777777" w:rsidR="008E5A21" w:rsidRDefault="008E5A21" w:rsidP="00822904">
            <w:pPr>
              <w:widowControl/>
              <w:rPr>
                <w:rFonts w:cs="宋体"/>
                <w:kern w:val="0"/>
                <w:sz w:val="24"/>
              </w:rPr>
            </w:pPr>
            <w:r>
              <w:rPr>
                <w:rFonts w:cs="宋体" w:hint="eastAsia"/>
                <w:kern w:val="0"/>
                <w:sz w:val="24"/>
              </w:rPr>
              <w:t>4.在从事实践活动中遇到自然灾害造成人员轻微受伤；</w:t>
            </w:r>
          </w:p>
          <w:p w14:paraId="4661E64C" w14:textId="77777777" w:rsidR="008E5A21" w:rsidRDefault="008E5A21" w:rsidP="00822904">
            <w:pPr>
              <w:widowControl/>
              <w:rPr>
                <w:rFonts w:cs="宋体"/>
                <w:kern w:val="0"/>
                <w:sz w:val="24"/>
              </w:rPr>
            </w:pPr>
            <w:r>
              <w:rPr>
                <w:rFonts w:cs="宋体" w:hint="eastAsia"/>
                <w:kern w:val="0"/>
                <w:sz w:val="24"/>
              </w:rPr>
              <w:t>5.其它事故（如水、电、火等意外）造成人员轻微受伤。</w:t>
            </w:r>
          </w:p>
        </w:tc>
        <w:tc>
          <w:tcPr>
            <w:tcW w:w="3780" w:type="dxa"/>
            <w:vAlign w:val="center"/>
          </w:tcPr>
          <w:p w14:paraId="34CCBC2A" w14:textId="77777777" w:rsidR="008E5A21" w:rsidRDefault="008E5A21" w:rsidP="00822904">
            <w:pPr>
              <w:widowControl/>
              <w:rPr>
                <w:rFonts w:cs="宋体"/>
                <w:kern w:val="0"/>
                <w:sz w:val="24"/>
              </w:rPr>
            </w:pPr>
            <w:r>
              <w:rPr>
                <w:rFonts w:cs="宋体" w:hint="eastAsia"/>
                <w:kern w:val="0"/>
                <w:sz w:val="24"/>
              </w:rPr>
              <w:t>团队做好充分准备，进行全面的安全教育工作，并配备日常药物，齐心协力，共渡难关。</w:t>
            </w:r>
          </w:p>
        </w:tc>
      </w:tr>
      <w:tr w:rsidR="008E5A21" w14:paraId="35878E9A" w14:textId="77777777" w:rsidTr="00822904">
        <w:trPr>
          <w:trHeight w:val="567"/>
          <w:jc w:val="center"/>
        </w:trPr>
        <w:tc>
          <w:tcPr>
            <w:tcW w:w="840" w:type="dxa"/>
            <w:vAlign w:val="center"/>
          </w:tcPr>
          <w:p w14:paraId="2684CF79" w14:textId="77777777" w:rsidR="008E5A21" w:rsidRDefault="008E5A21" w:rsidP="00822904">
            <w:pPr>
              <w:widowControl/>
              <w:spacing w:before="100" w:beforeAutospacing="1" w:after="100" w:afterAutospacing="1"/>
              <w:jc w:val="center"/>
              <w:rPr>
                <w:rFonts w:hAnsi="宋体" w:cs="宋体"/>
                <w:b/>
                <w:kern w:val="0"/>
                <w:sz w:val="24"/>
              </w:rPr>
            </w:pPr>
            <w:r>
              <w:rPr>
                <w:rFonts w:hint="eastAsia"/>
                <w:b/>
                <w:color w:val="000000"/>
                <w:sz w:val="24"/>
              </w:rPr>
              <w:t>应急救援电话</w:t>
            </w:r>
          </w:p>
        </w:tc>
        <w:tc>
          <w:tcPr>
            <w:tcW w:w="9030" w:type="dxa"/>
            <w:gridSpan w:val="3"/>
            <w:vAlign w:val="center"/>
          </w:tcPr>
          <w:p w14:paraId="5018237B" w14:textId="77777777" w:rsidR="008E5A21" w:rsidRDefault="008E5A21" w:rsidP="00822904">
            <w:pPr>
              <w:widowControl/>
              <w:rPr>
                <w:color w:val="000000"/>
                <w:sz w:val="24"/>
              </w:rPr>
            </w:pPr>
          </w:p>
          <w:p w14:paraId="49160D4F" w14:textId="77777777" w:rsidR="008E5A21" w:rsidRDefault="008E5A21" w:rsidP="00822904">
            <w:pPr>
              <w:widowControl/>
              <w:rPr>
                <w:color w:val="000000"/>
                <w:sz w:val="24"/>
              </w:rPr>
            </w:pPr>
            <w:r>
              <w:rPr>
                <w:rFonts w:hint="eastAsia"/>
                <w:color w:val="000000"/>
                <w:sz w:val="24"/>
              </w:rPr>
              <w:t>若遇紧急情况，请联系：</w:t>
            </w:r>
          </w:p>
          <w:p w14:paraId="6E09718E" w14:textId="77777777" w:rsidR="008E5A21" w:rsidRDefault="008E5A21" w:rsidP="00822904">
            <w:pPr>
              <w:widowControl/>
              <w:ind w:firstLineChars="200" w:firstLine="480"/>
              <w:rPr>
                <w:color w:val="000000"/>
                <w:sz w:val="24"/>
              </w:rPr>
            </w:pPr>
            <w:r>
              <w:rPr>
                <w:rFonts w:hint="eastAsia"/>
                <w:color w:val="000000"/>
                <w:sz w:val="24"/>
              </w:rPr>
              <w:t>火警：119；匪警：110；医疗急救：120；交通事故报警：122</w:t>
            </w:r>
          </w:p>
          <w:p w14:paraId="7B5636F7" w14:textId="77777777" w:rsidR="008E5A21" w:rsidRDefault="008E5A21" w:rsidP="00822904">
            <w:pPr>
              <w:widowControl/>
              <w:rPr>
                <w:color w:val="000000"/>
                <w:sz w:val="24"/>
              </w:rPr>
            </w:pPr>
          </w:p>
        </w:tc>
      </w:tr>
    </w:tbl>
    <w:p w14:paraId="2C7680F0" w14:textId="77777777" w:rsidR="008E5A21" w:rsidRDefault="008E5A21" w:rsidP="008E5A21">
      <w:pPr>
        <w:spacing w:line="600" w:lineRule="exact"/>
        <w:rPr>
          <w:rFonts w:ascii="Times New Roman"/>
        </w:rPr>
      </w:pPr>
    </w:p>
    <w:p w14:paraId="72F55B01" w14:textId="77777777" w:rsidR="00B02A9D" w:rsidRPr="008E5A21" w:rsidRDefault="00B02A9D"/>
    <w:sectPr w:rsidR="00B02A9D" w:rsidRPr="008E5A21">
      <w:headerReference w:type="default" r:id="rId6"/>
      <w:pgSz w:w="11906" w:h="16838"/>
      <w:pgMar w:top="1247" w:right="1077" w:bottom="1247" w:left="107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6B72E" w14:textId="77777777" w:rsidR="007F7316" w:rsidRDefault="007F7316" w:rsidP="008E5A21">
      <w:r>
        <w:separator/>
      </w:r>
    </w:p>
  </w:endnote>
  <w:endnote w:type="continuationSeparator" w:id="0">
    <w:p w14:paraId="3E36E646" w14:textId="77777777" w:rsidR="007F7316" w:rsidRDefault="007F7316" w:rsidP="008E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4E7EF" w14:textId="77777777" w:rsidR="007F7316" w:rsidRDefault="007F7316" w:rsidP="008E5A21">
      <w:r>
        <w:separator/>
      </w:r>
    </w:p>
  </w:footnote>
  <w:footnote w:type="continuationSeparator" w:id="0">
    <w:p w14:paraId="4C154414" w14:textId="77777777" w:rsidR="007F7316" w:rsidRDefault="007F7316" w:rsidP="008E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D4C9B" w14:textId="77777777" w:rsidR="00C71BA2" w:rsidRDefault="007F7316">
    <w:pPr>
      <w:pStyle w:val="a3"/>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9D"/>
    <w:rsid w:val="007F7316"/>
    <w:rsid w:val="008E5A21"/>
    <w:rsid w:val="00B02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33A91B-33D6-4F35-835A-CA157342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A21"/>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8E5A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E5A21"/>
    <w:rPr>
      <w:sz w:val="18"/>
      <w:szCs w:val="18"/>
    </w:rPr>
  </w:style>
  <w:style w:type="paragraph" w:styleId="a5">
    <w:name w:val="footer"/>
    <w:basedOn w:val="a"/>
    <w:link w:val="a6"/>
    <w:uiPriority w:val="99"/>
    <w:unhideWhenUsed/>
    <w:rsid w:val="008E5A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E5A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Baiwan</dc:creator>
  <cp:keywords/>
  <dc:description/>
  <cp:lastModifiedBy>Ren Baiwan</cp:lastModifiedBy>
  <cp:revision>3</cp:revision>
  <dcterms:created xsi:type="dcterms:W3CDTF">2020-06-11T07:19:00Z</dcterms:created>
  <dcterms:modified xsi:type="dcterms:W3CDTF">2020-06-11T07:19:00Z</dcterms:modified>
</cp:coreProperties>
</file>